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9E0AC6" w:rsidRDefault="009E0AC6" w:rsidP="009E0AC6">
      <w:pPr>
        <w:ind w:left="2340"/>
        <w:contextualSpacing/>
        <w:jc w:val="center"/>
        <w:rPr>
          <w:b/>
          <w:sz w:val="36"/>
        </w:rPr>
      </w:pPr>
      <w:r w:rsidRPr="009E0AC6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AC6">
        <w:rPr>
          <w:b/>
          <w:sz w:val="36"/>
        </w:rPr>
        <w:t>EMS and Logistics Board Report</w:t>
      </w:r>
    </w:p>
    <w:p w:rsidR="009E0AC6" w:rsidRPr="009E0AC6" w:rsidRDefault="009E0AC6" w:rsidP="009E0AC6">
      <w:pPr>
        <w:ind w:left="2340"/>
        <w:contextualSpacing/>
        <w:jc w:val="center"/>
        <w:rPr>
          <w:sz w:val="28"/>
        </w:rPr>
      </w:pPr>
      <w:r w:rsidRPr="009E0AC6">
        <w:rPr>
          <w:sz w:val="28"/>
        </w:rPr>
        <w:t>Division Chief Frank Ehrmantraut</w:t>
      </w:r>
    </w:p>
    <w:p w:rsidR="009E0AC6" w:rsidRDefault="00696F8F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June</w:t>
      </w:r>
      <w:r w:rsidR="00A54590">
        <w:rPr>
          <w:sz w:val="28"/>
        </w:rPr>
        <w:t xml:space="preserve"> </w:t>
      </w:r>
      <w:r w:rsidR="006E2475">
        <w:rPr>
          <w:sz w:val="28"/>
        </w:rPr>
        <w:t>202</w:t>
      </w:r>
      <w:r w:rsidR="00990EF2">
        <w:rPr>
          <w:sz w:val="28"/>
        </w:rPr>
        <w:t>4</w:t>
      </w:r>
    </w:p>
    <w:p w:rsidR="003A7C82" w:rsidRDefault="003A7C82" w:rsidP="009E0AC6">
      <w:pPr>
        <w:ind w:left="2340"/>
        <w:contextualSpacing/>
        <w:jc w:val="center"/>
        <w:rPr>
          <w:sz w:val="28"/>
        </w:rPr>
      </w:pPr>
    </w:p>
    <w:p w:rsidR="0099553E" w:rsidRDefault="0099553E" w:rsidP="00572417">
      <w:pPr>
        <w:rPr>
          <w:b/>
          <w:sz w:val="28"/>
        </w:rPr>
      </w:pPr>
    </w:p>
    <w:p w:rsidR="00572417" w:rsidRDefault="00696F8F" w:rsidP="00572417">
      <w:pPr>
        <w:rPr>
          <w:b/>
          <w:sz w:val="28"/>
        </w:rPr>
      </w:pPr>
      <w:r>
        <w:rPr>
          <w:b/>
          <w:sz w:val="28"/>
        </w:rPr>
        <w:t>May’s</w:t>
      </w:r>
      <w:r w:rsidR="009E0AC6" w:rsidRPr="009E0AC6">
        <w:rPr>
          <w:b/>
          <w:sz w:val="28"/>
        </w:rPr>
        <w:t xml:space="preserve"> Events</w:t>
      </w:r>
    </w:p>
    <w:p w:rsidR="00A63DBA" w:rsidRPr="00B36B46" w:rsidRDefault="00B36B46" w:rsidP="00625696">
      <w:pPr>
        <w:pStyle w:val="ListParagraph"/>
        <w:numPr>
          <w:ilvl w:val="0"/>
          <w:numId w:val="20"/>
        </w:numPr>
        <w:rPr>
          <w:b/>
          <w:sz w:val="28"/>
        </w:rPr>
      </w:pPr>
      <w:r>
        <w:rPr>
          <w:rFonts w:cstheme="minorHAnsi"/>
          <w:sz w:val="24"/>
        </w:rPr>
        <w:t>Patient in Custody</w:t>
      </w:r>
      <w:r w:rsidR="00920247">
        <w:rPr>
          <w:rFonts w:cstheme="minorHAnsi"/>
          <w:sz w:val="24"/>
        </w:rPr>
        <w:t xml:space="preserve"> – </w:t>
      </w:r>
      <w:r>
        <w:rPr>
          <w:rFonts w:cstheme="minorHAnsi"/>
          <w:sz w:val="24"/>
        </w:rPr>
        <w:t xml:space="preserve">The District worked with Monmouth Police Department to schedule training between police and EMS that </w:t>
      </w:r>
      <w:r w:rsidR="006B5015">
        <w:rPr>
          <w:rFonts w:cstheme="minorHAnsi"/>
          <w:sz w:val="24"/>
        </w:rPr>
        <w:t xml:space="preserve">better </w:t>
      </w:r>
      <w:r w:rsidR="00FE00CF">
        <w:rPr>
          <w:rFonts w:cstheme="minorHAnsi"/>
          <w:sz w:val="24"/>
        </w:rPr>
        <w:t>clarifies</w:t>
      </w:r>
      <w:r>
        <w:rPr>
          <w:rFonts w:cstheme="minorHAnsi"/>
          <w:sz w:val="24"/>
        </w:rPr>
        <w:t xml:space="preserve"> roles and responsibilities for patients that are in custody. The training will occur in July.</w:t>
      </w:r>
    </w:p>
    <w:p w:rsidR="00B36B46" w:rsidRPr="00B36B46" w:rsidRDefault="00B36B46" w:rsidP="00625696">
      <w:pPr>
        <w:pStyle w:val="ListParagraph"/>
        <w:numPr>
          <w:ilvl w:val="0"/>
          <w:numId w:val="20"/>
        </w:numPr>
        <w:rPr>
          <w:b/>
          <w:sz w:val="28"/>
        </w:rPr>
      </w:pPr>
      <w:r>
        <w:rPr>
          <w:rFonts w:cstheme="minorHAnsi"/>
          <w:sz w:val="24"/>
        </w:rPr>
        <w:t>Wildland S-330 – Chief Ehrmantraut and Captain Martin attended a three day course as part of the certification process to become Task Force Leaders for the County.</w:t>
      </w:r>
    </w:p>
    <w:p w:rsidR="00B36B46" w:rsidRPr="00B36B46" w:rsidRDefault="00B36B46" w:rsidP="00625696">
      <w:pPr>
        <w:pStyle w:val="ListParagraph"/>
        <w:numPr>
          <w:ilvl w:val="0"/>
          <w:numId w:val="20"/>
        </w:numPr>
        <w:rPr>
          <w:b/>
          <w:sz w:val="28"/>
        </w:rPr>
      </w:pPr>
      <w:r>
        <w:rPr>
          <w:rFonts w:cstheme="minorHAnsi"/>
          <w:sz w:val="24"/>
        </w:rPr>
        <w:t>EMS Orientation – Probationary FF Worthington attended 20 hours of EMS specific training during her two weeks of orientation as a new employee.</w:t>
      </w:r>
    </w:p>
    <w:p w:rsidR="00B36B46" w:rsidRPr="00B36B46" w:rsidRDefault="00B36B46" w:rsidP="00A5619F">
      <w:pPr>
        <w:pStyle w:val="ListParagraph"/>
        <w:numPr>
          <w:ilvl w:val="0"/>
          <w:numId w:val="20"/>
        </w:numPr>
        <w:rPr>
          <w:b/>
          <w:sz w:val="28"/>
        </w:rPr>
      </w:pPr>
      <w:r w:rsidRPr="00B36B46">
        <w:rPr>
          <w:sz w:val="24"/>
        </w:rPr>
        <w:t>Salem Hospital Regional EMS Meeting – This provides EMS agencies an opportunity to give feedback to Salem Hospital regarding processes that impact our operations.</w:t>
      </w:r>
    </w:p>
    <w:p w:rsidR="00B36B46" w:rsidRPr="00B36B46" w:rsidRDefault="00B36B46" w:rsidP="00A5619F">
      <w:pPr>
        <w:pStyle w:val="ListParagraph"/>
        <w:numPr>
          <w:ilvl w:val="0"/>
          <w:numId w:val="20"/>
        </w:numPr>
        <w:rPr>
          <w:b/>
          <w:sz w:val="28"/>
        </w:rPr>
      </w:pPr>
      <w:r w:rsidRPr="00B36B46">
        <w:rPr>
          <w:rFonts w:cstheme="minorHAnsi"/>
          <w:sz w:val="24"/>
        </w:rPr>
        <w:t xml:space="preserve">EMS Committee - </w:t>
      </w:r>
      <w:r w:rsidRPr="00B36B46">
        <w:rPr>
          <w:sz w:val="24"/>
        </w:rPr>
        <w:t>The District has a committee of line staff that meets bimonthly to provide input on current processes and equipment used to provide EMS services. This group also serves as PCFD’s EMS Quality Management group.</w:t>
      </w:r>
    </w:p>
    <w:p w:rsidR="00B36B46" w:rsidRPr="00DB0CF1" w:rsidRDefault="00B36B46" w:rsidP="00625696">
      <w:pPr>
        <w:pStyle w:val="ListParagraph"/>
        <w:numPr>
          <w:ilvl w:val="0"/>
          <w:numId w:val="20"/>
        </w:numPr>
        <w:rPr>
          <w:b/>
          <w:sz w:val="28"/>
        </w:rPr>
      </w:pPr>
      <w:r>
        <w:rPr>
          <w:sz w:val="24"/>
        </w:rPr>
        <w:t xml:space="preserve">Region 2 Healthcare Coalition – This group brings together public health, emergency management, hospitals and EMS to train, plan and collaborate </w:t>
      </w:r>
      <w:r w:rsidR="006B5015">
        <w:rPr>
          <w:sz w:val="24"/>
        </w:rPr>
        <w:t>for potential</w:t>
      </w:r>
      <w:r>
        <w:rPr>
          <w:sz w:val="24"/>
        </w:rPr>
        <w:t xml:space="preserve"> </w:t>
      </w:r>
      <w:r w:rsidR="00DB0CF1">
        <w:rPr>
          <w:sz w:val="24"/>
        </w:rPr>
        <w:t>large scale events that will stress the healthcare system.</w:t>
      </w:r>
    </w:p>
    <w:p w:rsidR="00DB0CF1" w:rsidRPr="00DB0CF1" w:rsidRDefault="00DB0CF1" w:rsidP="005D4AB1">
      <w:pPr>
        <w:pStyle w:val="ListParagraph"/>
        <w:numPr>
          <w:ilvl w:val="0"/>
          <w:numId w:val="20"/>
        </w:numPr>
        <w:rPr>
          <w:b/>
          <w:sz w:val="28"/>
        </w:rPr>
      </w:pPr>
      <w:r w:rsidRPr="00DB0CF1">
        <w:rPr>
          <w:sz w:val="24"/>
        </w:rPr>
        <w:t xml:space="preserve">Stop the Bleed – Central High School hosted a Stop the Bleed training for </w:t>
      </w:r>
      <w:r>
        <w:rPr>
          <w:sz w:val="24"/>
        </w:rPr>
        <w:t xml:space="preserve">three of </w:t>
      </w:r>
      <w:r w:rsidRPr="00DB0CF1">
        <w:rPr>
          <w:sz w:val="24"/>
        </w:rPr>
        <w:t xml:space="preserve">their healthcare careers class. This is a federally supported program to inform the lay person on the use of tourniquets and wound packing. </w:t>
      </w:r>
    </w:p>
    <w:p w:rsidR="00DB0CF1" w:rsidRPr="0090345A" w:rsidRDefault="00DB0CF1" w:rsidP="005D4AB1">
      <w:pPr>
        <w:pStyle w:val="ListParagraph"/>
        <w:numPr>
          <w:ilvl w:val="0"/>
          <w:numId w:val="20"/>
        </w:numPr>
        <w:rPr>
          <w:b/>
          <w:sz w:val="28"/>
        </w:rPr>
      </w:pPr>
      <w:r>
        <w:rPr>
          <w:sz w:val="24"/>
        </w:rPr>
        <w:t xml:space="preserve">Task Force Leader’s Symposium – </w:t>
      </w:r>
      <w:r w:rsidR="0090345A">
        <w:rPr>
          <w:sz w:val="24"/>
        </w:rPr>
        <w:t>A few of our members attended this</w:t>
      </w:r>
      <w:r>
        <w:rPr>
          <w:sz w:val="24"/>
        </w:rPr>
        <w:t xml:space="preserve"> O</w:t>
      </w:r>
      <w:r w:rsidR="006B5015">
        <w:rPr>
          <w:sz w:val="24"/>
        </w:rPr>
        <w:t xml:space="preserve">regon </w:t>
      </w:r>
      <w:r>
        <w:rPr>
          <w:sz w:val="24"/>
        </w:rPr>
        <w:t>S</w:t>
      </w:r>
      <w:r w:rsidR="006B5015">
        <w:rPr>
          <w:sz w:val="24"/>
        </w:rPr>
        <w:t xml:space="preserve">tate </w:t>
      </w:r>
      <w:r>
        <w:rPr>
          <w:sz w:val="24"/>
        </w:rPr>
        <w:t>F</w:t>
      </w:r>
      <w:r w:rsidR="006B5015">
        <w:rPr>
          <w:sz w:val="24"/>
        </w:rPr>
        <w:t xml:space="preserve">ire </w:t>
      </w:r>
      <w:r>
        <w:rPr>
          <w:sz w:val="24"/>
        </w:rPr>
        <w:t>M</w:t>
      </w:r>
      <w:r w:rsidR="006B5015">
        <w:rPr>
          <w:sz w:val="24"/>
        </w:rPr>
        <w:t>arshal</w:t>
      </w:r>
      <w:bookmarkStart w:id="0" w:name="_GoBack"/>
      <w:bookmarkEnd w:id="0"/>
      <w:r>
        <w:rPr>
          <w:sz w:val="24"/>
        </w:rPr>
        <w:t xml:space="preserve"> hosted event </w:t>
      </w:r>
      <w:r w:rsidR="0090345A">
        <w:rPr>
          <w:sz w:val="24"/>
        </w:rPr>
        <w:t>meant for sharing information and expectations about the upcoming wildland season.</w:t>
      </w:r>
    </w:p>
    <w:p w:rsidR="0090345A" w:rsidRPr="0090345A" w:rsidRDefault="0090345A" w:rsidP="005D4AB1">
      <w:pPr>
        <w:pStyle w:val="ListParagraph"/>
        <w:numPr>
          <w:ilvl w:val="0"/>
          <w:numId w:val="20"/>
        </w:numPr>
        <w:rPr>
          <w:b/>
          <w:sz w:val="28"/>
        </w:rPr>
      </w:pPr>
      <w:r>
        <w:rPr>
          <w:sz w:val="24"/>
        </w:rPr>
        <w:t>Industry Chat – Chief Ehrmantraut and FF/Paramedic Worthington gave a presentation about the paramedic profession to a Central High School careers education class.</w:t>
      </w:r>
    </w:p>
    <w:p w:rsidR="0090345A" w:rsidRPr="00DB0CF1" w:rsidRDefault="0090345A" w:rsidP="005D4AB1">
      <w:pPr>
        <w:pStyle w:val="ListParagraph"/>
        <w:numPr>
          <w:ilvl w:val="0"/>
          <w:numId w:val="20"/>
        </w:numPr>
        <w:rPr>
          <w:b/>
          <w:sz w:val="28"/>
        </w:rPr>
      </w:pPr>
      <w:r>
        <w:rPr>
          <w:sz w:val="24"/>
        </w:rPr>
        <w:t>Blood Drive – The Fire District hosted a blood drive for the American Red Cross. We are one of the best performing sites in the region, often collecting more pints than appointments that are scheduled.</w:t>
      </w:r>
    </w:p>
    <w:p w:rsidR="009E0AC6" w:rsidRPr="00A63DBA" w:rsidRDefault="009E0AC6" w:rsidP="00A63DBA">
      <w:pPr>
        <w:rPr>
          <w:b/>
          <w:sz w:val="28"/>
        </w:rPr>
      </w:pPr>
      <w:r w:rsidRPr="00A63DBA">
        <w:rPr>
          <w:b/>
          <w:sz w:val="28"/>
        </w:rPr>
        <w:t>Apparatus Updates</w:t>
      </w:r>
    </w:p>
    <w:p w:rsidR="00691AE9" w:rsidRPr="00691AE9" w:rsidRDefault="00E51439" w:rsidP="00691AE9">
      <w:pPr>
        <w:pStyle w:val="ListParagraph"/>
        <w:numPr>
          <w:ilvl w:val="0"/>
          <w:numId w:val="18"/>
        </w:numPr>
        <w:rPr>
          <w:b/>
          <w:sz w:val="28"/>
        </w:rPr>
      </w:pPr>
      <w:r>
        <w:rPr>
          <w:sz w:val="24"/>
        </w:rPr>
        <w:t>B91</w:t>
      </w:r>
      <w:r w:rsidR="00B95DE8">
        <w:rPr>
          <w:sz w:val="24"/>
        </w:rPr>
        <w:t xml:space="preserve"> – </w:t>
      </w:r>
      <w:r w:rsidR="00691AE9">
        <w:rPr>
          <w:sz w:val="24"/>
        </w:rPr>
        <w:t>Fire</w:t>
      </w:r>
      <w:r w:rsidR="0090345A">
        <w:rPr>
          <w:sz w:val="24"/>
        </w:rPr>
        <w:t xml:space="preserve"> pump failure. Dallas City Shops is working with the manufacturer to start the process of a warranty repair before completing a temporary fix. A permanent fix will occur after wildland season ends.</w:t>
      </w:r>
    </w:p>
    <w:p w:rsidR="0099553E" w:rsidRPr="0099553E" w:rsidRDefault="00691AE9" w:rsidP="00691AE9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 w:rsidRPr="0099553E">
        <w:rPr>
          <w:sz w:val="24"/>
          <w:szCs w:val="24"/>
        </w:rPr>
        <w:t xml:space="preserve">HB94 – PTO clutch replaced on </w:t>
      </w:r>
      <w:r w:rsidR="0099553E" w:rsidRPr="0099553E">
        <w:rPr>
          <w:sz w:val="24"/>
          <w:szCs w:val="24"/>
        </w:rPr>
        <w:t>auxiliary</w:t>
      </w:r>
      <w:r w:rsidRPr="0099553E">
        <w:rPr>
          <w:sz w:val="24"/>
          <w:szCs w:val="24"/>
        </w:rPr>
        <w:t xml:space="preserve"> pump. </w:t>
      </w:r>
      <w:r w:rsidR="0099553E" w:rsidRPr="0099553E">
        <w:rPr>
          <w:sz w:val="24"/>
          <w:szCs w:val="24"/>
        </w:rPr>
        <w:t>Fuel system serviced due to suspected air intrusion into system. Air leak fixed on air tank.</w:t>
      </w:r>
    </w:p>
    <w:p w:rsidR="0099553E" w:rsidRPr="0099553E" w:rsidRDefault="0099553E" w:rsidP="00691AE9">
      <w:pPr>
        <w:pStyle w:val="ListParagraph"/>
        <w:numPr>
          <w:ilvl w:val="0"/>
          <w:numId w:val="18"/>
        </w:numPr>
        <w:rPr>
          <w:b/>
          <w:sz w:val="28"/>
        </w:rPr>
      </w:pPr>
      <w:r>
        <w:rPr>
          <w:sz w:val="24"/>
        </w:rPr>
        <w:t xml:space="preserve">M474 – AC Compressor replaced after discovering it leaked. </w:t>
      </w:r>
    </w:p>
    <w:p w:rsidR="005F56B0" w:rsidRPr="00691AE9" w:rsidRDefault="0099553E" w:rsidP="00691AE9">
      <w:pPr>
        <w:pStyle w:val="ListParagraph"/>
        <w:numPr>
          <w:ilvl w:val="0"/>
          <w:numId w:val="18"/>
        </w:numPr>
        <w:rPr>
          <w:b/>
          <w:sz w:val="28"/>
        </w:rPr>
      </w:pPr>
      <w:r>
        <w:rPr>
          <w:sz w:val="24"/>
        </w:rPr>
        <w:t>S94 – Rock chip in windshield repaired.</w:t>
      </w:r>
      <w:r w:rsidR="005F56B0" w:rsidRPr="00691AE9">
        <w:rPr>
          <w:b/>
          <w:sz w:val="28"/>
        </w:rPr>
        <w:br w:type="page"/>
      </w:r>
    </w:p>
    <w:p w:rsidR="005E3AEB" w:rsidRDefault="00986DEE" w:rsidP="002E71FF">
      <w:pPr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-184639</wp:posOffset>
            </wp:positionH>
            <wp:positionV relativeFrom="paragraph">
              <wp:posOffset>334108</wp:posOffset>
            </wp:positionV>
            <wp:extent cx="7247059" cy="3889375"/>
            <wp:effectExtent l="0" t="0" r="11430" b="15875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  <w:r w:rsidR="006E2475" w:rsidRPr="005E3AEB">
        <w:rPr>
          <w:b/>
          <w:sz w:val="28"/>
        </w:rPr>
        <w:t>EMS Performan</w:t>
      </w:r>
      <w:r w:rsidR="005E3AEB">
        <w:rPr>
          <w:b/>
          <w:sz w:val="28"/>
        </w:rPr>
        <w:t>ce</w:t>
      </w:r>
    </w:p>
    <w:p w:rsidR="00855CEB" w:rsidRDefault="00855CEB" w:rsidP="002E71FF">
      <w:pPr>
        <w:jc w:val="center"/>
        <w:rPr>
          <w:b/>
          <w:sz w:val="28"/>
        </w:rPr>
      </w:pPr>
    </w:p>
    <w:p w:rsidR="00C6491B" w:rsidRDefault="006E540B" w:rsidP="00447994">
      <w:r>
        <w:tab/>
      </w:r>
    </w:p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986DEE" w:rsidP="00447994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2813538</wp:posOffset>
            </wp:positionH>
            <wp:positionV relativeFrom="paragraph">
              <wp:posOffset>121383</wp:posOffset>
            </wp:positionV>
            <wp:extent cx="4248150" cy="5011322"/>
            <wp:effectExtent l="0" t="0" r="0" b="18415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-184638</wp:posOffset>
            </wp:positionH>
            <wp:positionV relativeFrom="paragraph">
              <wp:posOffset>121383</wp:posOffset>
            </wp:positionV>
            <wp:extent cx="3068515" cy="5011420"/>
            <wp:effectExtent l="0" t="0" r="17780" b="17780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 w:rsidP="00447994"/>
    <w:p w:rsidR="000F5AB4" w:rsidRDefault="000F5AB4"/>
    <w:sectPr w:rsidR="000F5AB4" w:rsidSect="005E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22C6"/>
    <w:multiLevelType w:val="hybridMultilevel"/>
    <w:tmpl w:val="6AB2CFB6"/>
    <w:lvl w:ilvl="0" w:tplc="E2600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6F4C"/>
    <w:multiLevelType w:val="hybridMultilevel"/>
    <w:tmpl w:val="8B28072C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F116B"/>
    <w:multiLevelType w:val="hybridMultilevel"/>
    <w:tmpl w:val="DC94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D2736"/>
    <w:multiLevelType w:val="hybridMultilevel"/>
    <w:tmpl w:val="018E1D08"/>
    <w:lvl w:ilvl="0" w:tplc="871A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2705D"/>
    <w:multiLevelType w:val="hybridMultilevel"/>
    <w:tmpl w:val="E4D2D4A2"/>
    <w:lvl w:ilvl="0" w:tplc="3FE8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0AA5"/>
    <w:multiLevelType w:val="hybridMultilevel"/>
    <w:tmpl w:val="25AA2E8E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D415E6"/>
    <w:multiLevelType w:val="hybridMultilevel"/>
    <w:tmpl w:val="CE5E6D26"/>
    <w:lvl w:ilvl="0" w:tplc="8E04C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B16D8"/>
    <w:multiLevelType w:val="hybridMultilevel"/>
    <w:tmpl w:val="F926A9E8"/>
    <w:lvl w:ilvl="0" w:tplc="D452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4"/>
  </w:num>
  <w:num w:numId="5">
    <w:abstractNumId w:val="0"/>
  </w:num>
  <w:num w:numId="6">
    <w:abstractNumId w:val="4"/>
  </w:num>
  <w:num w:numId="7">
    <w:abstractNumId w:val="11"/>
  </w:num>
  <w:num w:numId="8">
    <w:abstractNumId w:val="17"/>
  </w:num>
  <w:num w:numId="9">
    <w:abstractNumId w:val="2"/>
  </w:num>
  <w:num w:numId="10">
    <w:abstractNumId w:val="18"/>
  </w:num>
  <w:num w:numId="11">
    <w:abstractNumId w:val="6"/>
  </w:num>
  <w:num w:numId="12">
    <w:abstractNumId w:val="9"/>
  </w:num>
  <w:num w:numId="13">
    <w:abstractNumId w:val="8"/>
  </w:num>
  <w:num w:numId="14">
    <w:abstractNumId w:val="16"/>
  </w:num>
  <w:num w:numId="15">
    <w:abstractNumId w:val="3"/>
  </w:num>
  <w:num w:numId="16">
    <w:abstractNumId w:val="12"/>
  </w:num>
  <w:num w:numId="17">
    <w:abstractNumId w:val="7"/>
  </w:num>
  <w:num w:numId="18">
    <w:abstractNumId w:val="1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1286B"/>
    <w:rsid w:val="00046997"/>
    <w:rsid w:val="00057EBC"/>
    <w:rsid w:val="000A26AE"/>
    <w:rsid w:val="000A331A"/>
    <w:rsid w:val="000D3DAD"/>
    <w:rsid w:val="000F5AB4"/>
    <w:rsid w:val="00100C35"/>
    <w:rsid w:val="00123F82"/>
    <w:rsid w:val="0013318B"/>
    <w:rsid w:val="001669D8"/>
    <w:rsid w:val="00260338"/>
    <w:rsid w:val="00260C78"/>
    <w:rsid w:val="002A073C"/>
    <w:rsid w:val="002B0415"/>
    <w:rsid w:val="002C70C0"/>
    <w:rsid w:val="002D4AFF"/>
    <w:rsid w:val="002E71FF"/>
    <w:rsid w:val="002E7984"/>
    <w:rsid w:val="003176D9"/>
    <w:rsid w:val="00321B85"/>
    <w:rsid w:val="00327739"/>
    <w:rsid w:val="00365174"/>
    <w:rsid w:val="003A7C82"/>
    <w:rsid w:val="003D46F3"/>
    <w:rsid w:val="003E0CF6"/>
    <w:rsid w:val="00427641"/>
    <w:rsid w:val="00447994"/>
    <w:rsid w:val="00476F05"/>
    <w:rsid w:val="00487723"/>
    <w:rsid w:val="004922AC"/>
    <w:rsid w:val="004928F0"/>
    <w:rsid w:val="00497BAD"/>
    <w:rsid w:val="004B6918"/>
    <w:rsid w:val="004C5A32"/>
    <w:rsid w:val="004D6EB6"/>
    <w:rsid w:val="00511417"/>
    <w:rsid w:val="00520C93"/>
    <w:rsid w:val="0054432C"/>
    <w:rsid w:val="00556171"/>
    <w:rsid w:val="00572417"/>
    <w:rsid w:val="005812D9"/>
    <w:rsid w:val="00584EE4"/>
    <w:rsid w:val="00590FF3"/>
    <w:rsid w:val="005C075B"/>
    <w:rsid w:val="005E392B"/>
    <w:rsid w:val="005E3AEB"/>
    <w:rsid w:val="005F56B0"/>
    <w:rsid w:val="0060093C"/>
    <w:rsid w:val="00601C68"/>
    <w:rsid w:val="00630804"/>
    <w:rsid w:val="006450F5"/>
    <w:rsid w:val="00667678"/>
    <w:rsid w:val="0068051B"/>
    <w:rsid w:val="00691AE9"/>
    <w:rsid w:val="00694649"/>
    <w:rsid w:val="00696F8F"/>
    <w:rsid w:val="006A13B0"/>
    <w:rsid w:val="006B5015"/>
    <w:rsid w:val="006D717C"/>
    <w:rsid w:val="006E2475"/>
    <w:rsid w:val="006E540B"/>
    <w:rsid w:val="006F5706"/>
    <w:rsid w:val="00786A73"/>
    <w:rsid w:val="00787FF9"/>
    <w:rsid w:val="007A2B9B"/>
    <w:rsid w:val="007A75F3"/>
    <w:rsid w:val="007D2657"/>
    <w:rsid w:val="007E4262"/>
    <w:rsid w:val="008202E8"/>
    <w:rsid w:val="008413DD"/>
    <w:rsid w:val="00855CEB"/>
    <w:rsid w:val="00857087"/>
    <w:rsid w:val="00863D94"/>
    <w:rsid w:val="00897552"/>
    <w:rsid w:val="008B6D4D"/>
    <w:rsid w:val="008C0733"/>
    <w:rsid w:val="008C1D1B"/>
    <w:rsid w:val="008D2986"/>
    <w:rsid w:val="008E4416"/>
    <w:rsid w:val="008F205C"/>
    <w:rsid w:val="008F2ADA"/>
    <w:rsid w:val="008F6947"/>
    <w:rsid w:val="008F6B9C"/>
    <w:rsid w:val="0090345A"/>
    <w:rsid w:val="00903BF6"/>
    <w:rsid w:val="00917D51"/>
    <w:rsid w:val="00920247"/>
    <w:rsid w:val="00937FEE"/>
    <w:rsid w:val="009513FE"/>
    <w:rsid w:val="0095208C"/>
    <w:rsid w:val="00953AF3"/>
    <w:rsid w:val="0095544E"/>
    <w:rsid w:val="00957F7C"/>
    <w:rsid w:val="00963B10"/>
    <w:rsid w:val="00965298"/>
    <w:rsid w:val="00965362"/>
    <w:rsid w:val="0097238C"/>
    <w:rsid w:val="00975A14"/>
    <w:rsid w:val="00986DEE"/>
    <w:rsid w:val="00990EF2"/>
    <w:rsid w:val="0099553E"/>
    <w:rsid w:val="009B2B26"/>
    <w:rsid w:val="009D1558"/>
    <w:rsid w:val="009D39E0"/>
    <w:rsid w:val="009E0AC6"/>
    <w:rsid w:val="00A02F0E"/>
    <w:rsid w:val="00A30D2B"/>
    <w:rsid w:val="00A54590"/>
    <w:rsid w:val="00A571E5"/>
    <w:rsid w:val="00A63DBA"/>
    <w:rsid w:val="00A94F50"/>
    <w:rsid w:val="00AB07AD"/>
    <w:rsid w:val="00AB2BCB"/>
    <w:rsid w:val="00AB5729"/>
    <w:rsid w:val="00AC79AE"/>
    <w:rsid w:val="00AF66B2"/>
    <w:rsid w:val="00AF6BC8"/>
    <w:rsid w:val="00B14BFA"/>
    <w:rsid w:val="00B17151"/>
    <w:rsid w:val="00B36B46"/>
    <w:rsid w:val="00B603BE"/>
    <w:rsid w:val="00B667D8"/>
    <w:rsid w:val="00B804AF"/>
    <w:rsid w:val="00B95DE8"/>
    <w:rsid w:val="00BD33CF"/>
    <w:rsid w:val="00BE7EB6"/>
    <w:rsid w:val="00BF1548"/>
    <w:rsid w:val="00BF4FA6"/>
    <w:rsid w:val="00BF6271"/>
    <w:rsid w:val="00C0606A"/>
    <w:rsid w:val="00C22FD0"/>
    <w:rsid w:val="00C26CDC"/>
    <w:rsid w:val="00C27671"/>
    <w:rsid w:val="00C61785"/>
    <w:rsid w:val="00C6491B"/>
    <w:rsid w:val="00C663BC"/>
    <w:rsid w:val="00CA4A05"/>
    <w:rsid w:val="00CB3532"/>
    <w:rsid w:val="00D02829"/>
    <w:rsid w:val="00D14297"/>
    <w:rsid w:val="00D631B5"/>
    <w:rsid w:val="00D64986"/>
    <w:rsid w:val="00D65934"/>
    <w:rsid w:val="00D71CF8"/>
    <w:rsid w:val="00D747B6"/>
    <w:rsid w:val="00DB0CF1"/>
    <w:rsid w:val="00DC239D"/>
    <w:rsid w:val="00E01BF8"/>
    <w:rsid w:val="00E2214C"/>
    <w:rsid w:val="00E51439"/>
    <w:rsid w:val="00E67872"/>
    <w:rsid w:val="00E72377"/>
    <w:rsid w:val="00E72E5B"/>
    <w:rsid w:val="00E74258"/>
    <w:rsid w:val="00E9248E"/>
    <w:rsid w:val="00EA1603"/>
    <w:rsid w:val="00EA4C42"/>
    <w:rsid w:val="00EA681A"/>
    <w:rsid w:val="00EB3286"/>
    <w:rsid w:val="00EE5D62"/>
    <w:rsid w:val="00EE642D"/>
    <w:rsid w:val="00EE763F"/>
    <w:rsid w:val="00EF37F6"/>
    <w:rsid w:val="00F04CEE"/>
    <w:rsid w:val="00F11231"/>
    <w:rsid w:val="00F3124F"/>
    <w:rsid w:val="00F42DAC"/>
    <w:rsid w:val="00F57369"/>
    <w:rsid w:val="00F66893"/>
    <w:rsid w:val="00F80AA4"/>
    <w:rsid w:val="00F83E1F"/>
    <w:rsid w:val="00F84835"/>
    <w:rsid w:val="00F9232C"/>
    <w:rsid w:val="00F97076"/>
    <w:rsid w:val="00FE00CF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AB7D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EMS Call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Report'!$L$21:$L$26</c:f>
              <c:strCache>
                <c:ptCount val="6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  <c:pt idx="3">
                  <c:v>March</c:v>
                </c:pt>
                <c:pt idx="4">
                  <c:v>April</c:v>
                </c:pt>
                <c:pt idx="5">
                  <c:v>May</c:v>
                </c:pt>
              </c:strCache>
            </c:strRef>
          </c:cat>
          <c:val>
            <c:numRef>
              <c:f>'Board Report'!$M$21:$M$26</c:f>
              <c:numCache>
                <c:formatCode>General</c:formatCode>
                <c:ptCount val="6"/>
                <c:pt idx="0">
                  <c:v>113</c:v>
                </c:pt>
                <c:pt idx="1">
                  <c:v>118</c:v>
                </c:pt>
                <c:pt idx="2">
                  <c:v>134</c:v>
                </c:pt>
                <c:pt idx="3">
                  <c:v>112</c:v>
                </c:pt>
                <c:pt idx="4">
                  <c:v>93</c:v>
                </c:pt>
                <c:pt idx="5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42-4440-82B3-E831797D6DEF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Report'!$L$21:$L$26</c:f>
              <c:strCache>
                <c:ptCount val="6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  <c:pt idx="3">
                  <c:v>March</c:v>
                </c:pt>
                <c:pt idx="4">
                  <c:v>April</c:v>
                </c:pt>
                <c:pt idx="5">
                  <c:v>May</c:v>
                </c:pt>
              </c:strCache>
            </c:strRef>
          </c:cat>
          <c:val>
            <c:numRef>
              <c:f>'Board Report'!$N$21:$N$26</c:f>
              <c:numCache>
                <c:formatCode>General</c:formatCode>
                <c:ptCount val="6"/>
                <c:pt idx="0">
                  <c:v>45</c:v>
                </c:pt>
                <c:pt idx="1">
                  <c:v>50</c:v>
                </c:pt>
                <c:pt idx="2">
                  <c:v>45</c:v>
                </c:pt>
                <c:pt idx="3">
                  <c:v>55</c:v>
                </c:pt>
                <c:pt idx="4">
                  <c:v>65</c:v>
                </c:pt>
                <c:pt idx="5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42-4440-82B3-E831797D6DEF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Report'!$L$21:$L$26</c:f>
              <c:strCache>
                <c:ptCount val="6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  <c:pt idx="3">
                  <c:v>March</c:v>
                </c:pt>
                <c:pt idx="4">
                  <c:v>April</c:v>
                </c:pt>
                <c:pt idx="5">
                  <c:v>May</c:v>
                </c:pt>
              </c:strCache>
            </c:strRef>
          </c:cat>
          <c:val>
            <c:numRef>
              <c:f>'Board Report'!$O$21:$O$26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42-4440-82B3-E831797D6DEF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PCFD Transports to WVH that are</a:t>
            </a:r>
            <a:r>
              <a:rPr lang="en-US" sz="1400" baseline="0"/>
              <a:t> Transferred</a:t>
            </a:r>
            <a:endParaRPr lang="en-US" sz="14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Transfers'!$S$2:$X$2</c:f>
              <c:strCache>
                <c:ptCount val="6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  <c:pt idx="3">
                  <c:v>March</c:v>
                </c:pt>
                <c:pt idx="4">
                  <c:v>April</c:v>
                </c:pt>
                <c:pt idx="5">
                  <c:v>May</c:v>
                </c:pt>
              </c:strCache>
            </c:strRef>
          </c:cat>
          <c:val>
            <c:numRef>
              <c:f>'WVH Transfers'!$S$4:$X$4</c:f>
              <c:numCache>
                <c:formatCode>General</c:formatCode>
                <c:ptCount val="6"/>
                <c:pt idx="0">
                  <c:v>27</c:v>
                </c:pt>
                <c:pt idx="1">
                  <c:v>47</c:v>
                </c:pt>
                <c:pt idx="2">
                  <c:v>34</c:v>
                </c:pt>
                <c:pt idx="3">
                  <c:v>28</c:v>
                </c:pt>
                <c:pt idx="4">
                  <c:v>30</c:v>
                </c:pt>
                <c:pt idx="5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3F-4957-BF94-84BD4149A8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189681335356602"/>
                  <c:y val="8.441328687684032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83F-4957-BF94-84BD4149A81E}"/>
                </c:ext>
              </c:extLst>
            </c:dLbl>
            <c:dLbl>
              <c:idx val="1"/>
              <c:layout>
                <c:manualLayout>
                  <c:x val="-9.672230652503791E-2"/>
                  <c:y val="4.39833444277195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83F-4957-BF94-84BD4149A81E}"/>
                </c:ext>
              </c:extLst>
            </c:dLbl>
            <c:dLbl>
              <c:idx val="2"/>
              <c:layout>
                <c:manualLayout>
                  <c:x val="-9.3687405159332326E-2"/>
                  <c:y val="2.875105196770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83F-4957-BF94-84BD4149A81E}"/>
                </c:ext>
              </c:extLst>
            </c:dLbl>
            <c:dLbl>
              <c:idx val="3"/>
              <c:layout>
                <c:manualLayout>
                  <c:x val="-9.9757207890743549E-2"/>
                  <c:y val="4.65220598377220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83F-4957-BF94-84BD4149A81E}"/>
                </c:ext>
              </c:extLst>
            </c:dLbl>
            <c:dLbl>
              <c:idx val="4"/>
              <c:layout>
                <c:manualLayout>
                  <c:x val="-9.6722306525038049E-2"/>
                  <c:y val="3.6367198197711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83F-4957-BF94-84BD4149A81E}"/>
                </c:ext>
              </c:extLst>
            </c:dLbl>
            <c:dLbl>
              <c:idx val="5"/>
              <c:layout>
                <c:manualLayout>
                  <c:x val="-0.1118968133535659"/>
                  <c:y val="-1.713532952326169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83F-4957-BF94-84BD4149A8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Transfers'!$S$2:$X$2</c:f>
              <c:strCache>
                <c:ptCount val="6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  <c:pt idx="3">
                  <c:v>March</c:v>
                </c:pt>
                <c:pt idx="4">
                  <c:v>April</c:v>
                </c:pt>
                <c:pt idx="5">
                  <c:v>May</c:v>
                </c:pt>
              </c:strCache>
            </c:strRef>
          </c:cat>
          <c:val>
            <c:numRef>
              <c:f>'WVH Transfers'!$S$3:$X$3</c:f>
              <c:numCache>
                <c:formatCode>0%</c:formatCode>
                <c:ptCount val="6"/>
                <c:pt idx="0">
                  <c:v>0.22222222222222221</c:v>
                </c:pt>
                <c:pt idx="1">
                  <c:v>0.19148936170212766</c:v>
                </c:pt>
                <c:pt idx="2">
                  <c:v>0.14705882352941177</c:v>
                </c:pt>
                <c:pt idx="3">
                  <c:v>0.17857142857142858</c:v>
                </c:pt>
                <c:pt idx="4">
                  <c:v>0.13333333333333333</c:v>
                </c:pt>
                <c:pt idx="5">
                  <c:v>0.23809523809523808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3F-4957-BF94-84BD4149A8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 Destinations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1F-4AA3-9CE2-5ABA3917DE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01F-4AA3-9CE2-5ABA3917DE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01F-4AA3-9CE2-5ABA3917DE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01F-4AA3-9CE2-5ABA3917DE74}"/>
              </c:ext>
            </c:extLst>
          </c:dPt>
          <c:dLbls>
            <c:dLbl>
              <c:idx val="0"/>
              <c:layout>
                <c:manualLayout>
                  <c:x val="4.9668874172185358E-2"/>
                  <c:y val="5.068423720223010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01F-4AA3-9CE2-5ABA3917DE74}"/>
                </c:ext>
              </c:extLst>
            </c:dLbl>
            <c:dLbl>
              <c:idx val="3"/>
              <c:layout>
                <c:manualLayout>
                  <c:x val="-3.7251655629139152E-2"/>
                  <c:y val="2.534211860111505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01F-4AA3-9CE2-5ABA3917DE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'Board Report'!$E$3:$E$7</c:f>
              <c:strCache>
                <c:ptCount val="4"/>
                <c:pt idx="0">
                  <c:v>Good Samaritan Regional Medical Center</c:v>
                </c:pt>
                <c:pt idx="1">
                  <c:v>West Valley Hospital</c:v>
                </c:pt>
                <c:pt idx="2">
                  <c:v>Salem Hospital</c:v>
                </c:pt>
                <c:pt idx="3">
                  <c:v>Willamette Valley Medical Center</c:v>
                </c:pt>
              </c:strCache>
            </c:strRef>
          </c:cat>
          <c:val>
            <c:numRef>
              <c:f>'Board Report'!$F$3:$F$7</c:f>
              <c:numCache>
                <c:formatCode>General</c:formatCode>
                <c:ptCount val="4"/>
                <c:pt idx="0">
                  <c:v>2</c:v>
                </c:pt>
                <c:pt idx="1">
                  <c:v>42</c:v>
                </c:pt>
                <c:pt idx="2">
                  <c:v>71</c:v>
                </c:pt>
                <c:pt idx="3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categoryFilterExceptions/>
            </c:ext>
            <c:ext xmlns:c16="http://schemas.microsoft.com/office/drawing/2014/chart" uri="{C3380CC4-5D6E-409C-BE32-E72D297353CC}">
              <c16:uniqueId val="{00000008-F01F-4AA3-9CE2-5ABA3917DE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5</cp:revision>
  <cp:lastPrinted>2023-08-02T18:13:00Z</cp:lastPrinted>
  <dcterms:created xsi:type="dcterms:W3CDTF">2024-06-04T20:26:00Z</dcterms:created>
  <dcterms:modified xsi:type="dcterms:W3CDTF">2024-06-04T22:53:00Z</dcterms:modified>
</cp:coreProperties>
</file>