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990EF2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January</w:t>
      </w:r>
      <w:r w:rsidR="00A54590">
        <w:rPr>
          <w:sz w:val="28"/>
        </w:rPr>
        <w:t xml:space="preserve"> </w:t>
      </w:r>
      <w:r w:rsidR="006E2475">
        <w:rPr>
          <w:sz w:val="28"/>
        </w:rPr>
        <w:t>202</w:t>
      </w:r>
      <w:r>
        <w:rPr>
          <w:sz w:val="28"/>
        </w:rPr>
        <w:t>4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990EF2" w:rsidP="00572417">
      <w:pPr>
        <w:rPr>
          <w:b/>
          <w:sz w:val="28"/>
        </w:rPr>
      </w:pPr>
      <w:r>
        <w:rPr>
          <w:b/>
          <w:sz w:val="28"/>
        </w:rPr>
        <w:t>December’s</w:t>
      </w:r>
      <w:r w:rsidR="009E0AC6" w:rsidRPr="009E0AC6">
        <w:rPr>
          <w:b/>
          <w:sz w:val="28"/>
        </w:rPr>
        <w:t xml:space="preserve"> Events</w:t>
      </w:r>
    </w:p>
    <w:p w:rsidR="00590FF3" w:rsidRDefault="00590FF3" w:rsidP="00590FF3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Ambulance Specification – I reviewed our current specifications, proposed changes, and other related materials with our ambulance sales representative in preparation of making a purchase.  The current build times are 24 months which would allow us to take receipt of this unit during FY 25-26 when another ambulance is due to be purchased.</w:t>
      </w:r>
    </w:p>
    <w:p w:rsidR="00E74258" w:rsidRDefault="00590FF3" w:rsidP="00590FF3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Chemeketa EMS Program Advisory Committee – This group meets quarterly to provide input on </w:t>
      </w:r>
      <w:r w:rsidR="00D747B6">
        <w:rPr>
          <w:sz w:val="24"/>
        </w:rPr>
        <w:t xml:space="preserve">the </w:t>
      </w:r>
      <w:r>
        <w:rPr>
          <w:sz w:val="24"/>
        </w:rPr>
        <w:t>Chemeketa EMS program as part of their accreditation requirements.</w:t>
      </w:r>
    </w:p>
    <w:p w:rsidR="007A75F3" w:rsidRDefault="00590FF3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RAC: Trauma Criteria – This was the final rules advisor committee to advise Oregon Health Authority on how proposed rule changes would impact external stakeholders.  The District will see a change to our EMS clinical protocols, but it should have no fiscal or operational impact.</w:t>
      </w:r>
    </w:p>
    <w:p w:rsidR="00590FF3" w:rsidRDefault="00590FF3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State EMS Data Workgroup – I am working with members of the State EMS Committee to determine how statewide ambulance service data is shared and used.</w:t>
      </w:r>
    </w:p>
    <w:p w:rsidR="00590FF3" w:rsidRDefault="00590FF3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SDAO Risk Management Class – SDAO hosted an informative class on risk management and actions that agency leaders can take to minimize their organization’s risk.</w:t>
      </w:r>
    </w:p>
    <w:p w:rsidR="00590FF3" w:rsidRDefault="00590FF3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Monmouth Library Presentation – Polk County Fire District No.1, Monmouth Police Department and Polk County Behavioral Health presented to city staff </w:t>
      </w:r>
      <w:r w:rsidR="00D71CF8">
        <w:rPr>
          <w:sz w:val="24"/>
        </w:rPr>
        <w:t>from both Monmouth and Independence regarding our role addressing those suffering from behavioral health emergencies.  We also discussed de-escalation tactics and how to identify unsafe behaviors.</w:t>
      </w:r>
    </w:p>
    <w:p w:rsidR="00D71CF8" w:rsidRDefault="00D71CF8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First Aid and CPR – The District hosted a certifying class for direct service professionals that provide services in our community.</w:t>
      </w:r>
    </w:p>
    <w:p w:rsidR="00D71CF8" w:rsidRPr="00E74258" w:rsidRDefault="00D71CF8" w:rsidP="00E74258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Blood Drive – The District hosted Red Cross for a blood drive.  We were mentioned in their regional newsletter as our drive collected 33% more units than expected.   </w:t>
      </w:r>
    </w:p>
    <w:p w:rsidR="009E0AC6" w:rsidRDefault="009E0AC6" w:rsidP="008C0733">
      <w:pPr>
        <w:rPr>
          <w:b/>
          <w:sz w:val="28"/>
        </w:rPr>
      </w:pPr>
      <w:r w:rsidRPr="008C0733">
        <w:rPr>
          <w:b/>
          <w:sz w:val="28"/>
        </w:rPr>
        <w:t>Apparatus Updates</w:t>
      </w:r>
    </w:p>
    <w:p w:rsidR="00EB3286" w:rsidRDefault="00D71CF8" w:rsidP="007A75F3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M474 – </w:t>
      </w:r>
      <w:r w:rsidR="00427641">
        <w:rPr>
          <w:sz w:val="24"/>
        </w:rPr>
        <w:t>Repaired a coolant leak, improved power to onboard computers, replaced suspension components and foam in driver’s seat.</w:t>
      </w:r>
    </w:p>
    <w:p w:rsidR="00427641" w:rsidRDefault="00427641" w:rsidP="0042764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D494 – Replaced wiper blades and a headlight.</w:t>
      </w:r>
    </w:p>
    <w:p w:rsidR="00427641" w:rsidRDefault="00427641" w:rsidP="0042764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T437 – Repaired a coolant leak.</w:t>
      </w:r>
    </w:p>
    <w:p w:rsidR="00427641" w:rsidRPr="00427641" w:rsidRDefault="00427641" w:rsidP="0042764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T472 – Portable radio chargers and inverter was installed.</w:t>
      </w:r>
    </w:p>
    <w:p w:rsidR="00EB3286" w:rsidRDefault="00EB3286" w:rsidP="006E540B">
      <w:pPr>
        <w:jc w:val="center"/>
        <w:rPr>
          <w:b/>
          <w:sz w:val="28"/>
        </w:rPr>
      </w:pPr>
    </w:p>
    <w:p w:rsidR="00EB3286" w:rsidRDefault="00EB3286" w:rsidP="006E540B">
      <w:pPr>
        <w:jc w:val="center"/>
        <w:rPr>
          <w:b/>
          <w:sz w:val="28"/>
        </w:rPr>
      </w:pPr>
    </w:p>
    <w:p w:rsidR="005F56B0" w:rsidRDefault="006E540B" w:rsidP="006E540B">
      <w:pPr>
        <w:jc w:val="center"/>
        <w:rPr>
          <w:b/>
          <w:sz w:val="28"/>
        </w:rPr>
      </w:pPr>
      <w:r>
        <w:rPr>
          <w:b/>
          <w:sz w:val="28"/>
        </w:rPr>
        <w:t>**Mutual Aid data is incomplete due to process of switching dispatch software. **</w:t>
      </w:r>
      <w:r w:rsidR="005F56B0">
        <w:rPr>
          <w:b/>
          <w:sz w:val="28"/>
        </w:rPr>
        <w:br w:type="page"/>
      </w:r>
    </w:p>
    <w:p w:rsidR="005E3AEB" w:rsidRDefault="006E2475" w:rsidP="002E71FF">
      <w:pPr>
        <w:jc w:val="center"/>
        <w:rPr>
          <w:b/>
          <w:sz w:val="28"/>
        </w:rPr>
      </w:pPr>
      <w:r w:rsidRPr="005E3AEB">
        <w:rPr>
          <w:b/>
          <w:sz w:val="28"/>
        </w:rPr>
        <w:lastRenderedPageBreak/>
        <w:t>EMS Performan</w:t>
      </w:r>
      <w:r w:rsidR="005E3AEB">
        <w:rPr>
          <w:b/>
          <w:sz w:val="28"/>
        </w:rPr>
        <w:t>ce</w:t>
      </w:r>
    </w:p>
    <w:p w:rsidR="00855CEB" w:rsidRDefault="00855CEB" w:rsidP="002E71F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91419DD" wp14:editId="270ED32A">
            <wp:extent cx="6858000" cy="3889375"/>
            <wp:effectExtent l="0" t="0" r="0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491B" w:rsidRPr="00AF6BC8" w:rsidRDefault="00855CEB" w:rsidP="00447994">
      <w:r w:rsidRPr="00855CEB">
        <w:rPr>
          <w:noProof/>
        </w:rPr>
        <w:drawing>
          <wp:inline distT="0" distB="0" distL="0" distR="0" wp14:anchorId="6F0459FA" wp14:editId="1E9D8933">
            <wp:extent cx="2372360" cy="4308389"/>
            <wp:effectExtent l="0" t="0" r="8890" b="165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47994" w:rsidRPr="00447994">
        <w:rPr>
          <w:noProof/>
          <w:shd w:val="clear" w:color="auto" w:fill="002060"/>
        </w:rPr>
        <w:drawing>
          <wp:inline distT="0" distB="0" distL="0" distR="0" wp14:anchorId="21516F62" wp14:editId="1DE8A864">
            <wp:extent cx="4477265" cy="4315460"/>
            <wp:effectExtent l="0" t="0" r="0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  <w:r w:rsidR="006E540B">
        <w:tab/>
      </w:r>
    </w:p>
    <w:sectPr w:rsidR="00C6491B" w:rsidRPr="00AF6BC8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2C6"/>
    <w:multiLevelType w:val="hybridMultilevel"/>
    <w:tmpl w:val="EDA0A3EC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6"/>
  </w:num>
  <w:num w:numId="12">
    <w:abstractNumId w:val="9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0D3DAD"/>
    <w:rsid w:val="00100C35"/>
    <w:rsid w:val="00123F82"/>
    <w:rsid w:val="0013318B"/>
    <w:rsid w:val="001669D8"/>
    <w:rsid w:val="00260338"/>
    <w:rsid w:val="00260C78"/>
    <w:rsid w:val="002A073C"/>
    <w:rsid w:val="002B0415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427641"/>
    <w:rsid w:val="00447994"/>
    <w:rsid w:val="00476F05"/>
    <w:rsid w:val="00487723"/>
    <w:rsid w:val="004922AC"/>
    <w:rsid w:val="004928F0"/>
    <w:rsid w:val="00497BAD"/>
    <w:rsid w:val="004B6918"/>
    <w:rsid w:val="004C5A32"/>
    <w:rsid w:val="004D6EB6"/>
    <w:rsid w:val="00511417"/>
    <w:rsid w:val="00520C93"/>
    <w:rsid w:val="00556171"/>
    <w:rsid w:val="00572417"/>
    <w:rsid w:val="005812D9"/>
    <w:rsid w:val="00584EE4"/>
    <w:rsid w:val="00590FF3"/>
    <w:rsid w:val="005C075B"/>
    <w:rsid w:val="005E3AEB"/>
    <w:rsid w:val="005F56B0"/>
    <w:rsid w:val="0060093C"/>
    <w:rsid w:val="00601C68"/>
    <w:rsid w:val="00630804"/>
    <w:rsid w:val="00667678"/>
    <w:rsid w:val="0068051B"/>
    <w:rsid w:val="00694649"/>
    <w:rsid w:val="006A13B0"/>
    <w:rsid w:val="006D717C"/>
    <w:rsid w:val="006E2475"/>
    <w:rsid w:val="006E540B"/>
    <w:rsid w:val="006F5706"/>
    <w:rsid w:val="00786A73"/>
    <w:rsid w:val="00787FF9"/>
    <w:rsid w:val="007A2B9B"/>
    <w:rsid w:val="007A75F3"/>
    <w:rsid w:val="007D2657"/>
    <w:rsid w:val="007E4262"/>
    <w:rsid w:val="008202E8"/>
    <w:rsid w:val="008413DD"/>
    <w:rsid w:val="00855CEB"/>
    <w:rsid w:val="00857087"/>
    <w:rsid w:val="00863D94"/>
    <w:rsid w:val="00897552"/>
    <w:rsid w:val="008C0733"/>
    <w:rsid w:val="008C1D1B"/>
    <w:rsid w:val="008D2986"/>
    <w:rsid w:val="008F205C"/>
    <w:rsid w:val="008F2ADA"/>
    <w:rsid w:val="008F6947"/>
    <w:rsid w:val="008F6B9C"/>
    <w:rsid w:val="00903BF6"/>
    <w:rsid w:val="00917D51"/>
    <w:rsid w:val="00937FEE"/>
    <w:rsid w:val="0095208C"/>
    <w:rsid w:val="0095544E"/>
    <w:rsid w:val="00957F7C"/>
    <w:rsid w:val="00963B10"/>
    <w:rsid w:val="00965298"/>
    <w:rsid w:val="00975A14"/>
    <w:rsid w:val="00990EF2"/>
    <w:rsid w:val="009B2B26"/>
    <w:rsid w:val="009D1558"/>
    <w:rsid w:val="009D39E0"/>
    <w:rsid w:val="009E0AC6"/>
    <w:rsid w:val="00A54590"/>
    <w:rsid w:val="00A571E5"/>
    <w:rsid w:val="00A94F50"/>
    <w:rsid w:val="00AB07AD"/>
    <w:rsid w:val="00AB2BCB"/>
    <w:rsid w:val="00AB5729"/>
    <w:rsid w:val="00AF66B2"/>
    <w:rsid w:val="00AF6BC8"/>
    <w:rsid w:val="00B14BFA"/>
    <w:rsid w:val="00B17151"/>
    <w:rsid w:val="00B603BE"/>
    <w:rsid w:val="00B667D8"/>
    <w:rsid w:val="00B804AF"/>
    <w:rsid w:val="00BD33CF"/>
    <w:rsid w:val="00BE7EB6"/>
    <w:rsid w:val="00BF1548"/>
    <w:rsid w:val="00BF4FA6"/>
    <w:rsid w:val="00BF6271"/>
    <w:rsid w:val="00C0606A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4297"/>
    <w:rsid w:val="00D64986"/>
    <w:rsid w:val="00D65934"/>
    <w:rsid w:val="00D71CF8"/>
    <w:rsid w:val="00D747B6"/>
    <w:rsid w:val="00DC239D"/>
    <w:rsid w:val="00E01BF8"/>
    <w:rsid w:val="00E2214C"/>
    <w:rsid w:val="00E72377"/>
    <w:rsid w:val="00E74258"/>
    <w:rsid w:val="00E9248E"/>
    <w:rsid w:val="00EA1603"/>
    <w:rsid w:val="00EA4C42"/>
    <w:rsid w:val="00EA681A"/>
    <w:rsid w:val="00EB3286"/>
    <w:rsid w:val="00EE5D62"/>
    <w:rsid w:val="00EF37F6"/>
    <w:rsid w:val="00F04CEE"/>
    <w:rsid w:val="00F11231"/>
    <w:rsid w:val="00F3124F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9629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Report'!$L$16:$L$21</c:f>
              <c:strCache>
                <c:ptCount val="6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</c:strCache>
            </c:strRef>
          </c:cat>
          <c:val>
            <c:numRef>
              <c:f>'Board Report'!$M$16:$M$21</c:f>
              <c:numCache>
                <c:formatCode>General</c:formatCode>
                <c:ptCount val="6"/>
                <c:pt idx="0">
                  <c:v>118</c:v>
                </c:pt>
                <c:pt idx="1">
                  <c:v>97</c:v>
                </c:pt>
                <c:pt idx="2">
                  <c:v>101</c:v>
                </c:pt>
                <c:pt idx="3">
                  <c:v>99</c:v>
                </c:pt>
                <c:pt idx="4">
                  <c:v>109</c:v>
                </c:pt>
                <c:pt idx="5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4D-4B29-A82E-E55724EE7C5B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Report'!$L$16:$L$21</c:f>
              <c:strCache>
                <c:ptCount val="6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</c:strCache>
            </c:strRef>
          </c:cat>
          <c:val>
            <c:numRef>
              <c:f>'Board Report'!$N$16:$N$21</c:f>
              <c:numCache>
                <c:formatCode>General</c:formatCode>
                <c:ptCount val="6"/>
                <c:pt idx="0">
                  <c:v>59</c:v>
                </c:pt>
                <c:pt idx="1">
                  <c:v>60</c:v>
                </c:pt>
                <c:pt idx="2">
                  <c:v>40</c:v>
                </c:pt>
                <c:pt idx="3">
                  <c:v>45</c:v>
                </c:pt>
                <c:pt idx="4">
                  <c:v>37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4D-4B29-A82E-E55724EE7C5B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Report'!$L$16:$L$21</c:f>
              <c:strCache>
                <c:ptCount val="6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</c:strCache>
            </c:strRef>
          </c:cat>
          <c:val>
            <c:numRef>
              <c:f>'Board Report'!$O$16:$O$21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4D-4B29-A82E-E55724EE7C5B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Transports</a:t>
            </a:r>
            <a:r>
              <a:rPr lang="en-US" baseline="0"/>
              <a:t> by Destination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EC-4B1D-92C7-5F04AD915A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EC-4B1D-92C7-5F04AD915A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EC-4B1D-92C7-5F04AD915A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EC-4B1D-92C7-5F04AD915A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'Transports by Destination'!$A$3:$A$6</c:f>
              <c:strCache>
                <c:ptCount val="4"/>
                <c:pt idx="0">
                  <c:v>Good Samaritan Hospital</c:v>
                </c:pt>
                <c:pt idx="1">
                  <c:v>West Valley Hospital</c:v>
                </c:pt>
                <c:pt idx="2">
                  <c:v>Salem Hospital</c:v>
                </c:pt>
                <c:pt idx="3">
                  <c:v>Albany General Hospital</c:v>
                </c:pt>
              </c:strCache>
            </c:strRef>
          </c:cat>
          <c:val>
            <c:numRef>
              <c:f>'Transports by Destination'!$Q$3:$Q$6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80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5EC-4B1D-92C7-5F04AD915AA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Transfers'!$M$2:$R$2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'WVH Transfers'!$M$4:$R$4</c:f>
              <c:numCache>
                <c:formatCode>General</c:formatCode>
                <c:ptCount val="6"/>
                <c:pt idx="0">
                  <c:v>31</c:v>
                </c:pt>
                <c:pt idx="1">
                  <c:v>39</c:v>
                </c:pt>
                <c:pt idx="2">
                  <c:v>35</c:v>
                </c:pt>
                <c:pt idx="3">
                  <c:v>37</c:v>
                </c:pt>
                <c:pt idx="4">
                  <c:v>42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4-4E68-95D5-C2C5EB4EB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Transfers'!$M$2:$R$2</c:f>
              <c:strCache>
                <c:ptCount val="6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September</c:v>
                </c:pt>
                <c:pt idx="4">
                  <c:v>October</c:v>
                </c:pt>
                <c:pt idx="5">
                  <c:v>November</c:v>
                </c:pt>
              </c:strCache>
            </c:strRef>
          </c:cat>
          <c:val>
            <c:numRef>
              <c:f>'WVH Transfers'!$M$3:$R$3</c:f>
              <c:numCache>
                <c:formatCode>0%</c:formatCode>
                <c:ptCount val="6"/>
                <c:pt idx="0">
                  <c:v>0.12903225806451613</c:v>
                </c:pt>
                <c:pt idx="1">
                  <c:v>0.10256410256410256</c:v>
                </c:pt>
                <c:pt idx="2">
                  <c:v>0.2</c:v>
                </c:pt>
                <c:pt idx="3">
                  <c:v>8.1081081081081086E-2</c:v>
                </c:pt>
                <c:pt idx="4">
                  <c:v>0.16666666666666666</c:v>
                </c:pt>
                <c:pt idx="5">
                  <c:v>9.6774193548387094E-2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94-4E68-95D5-C2C5EB4EB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6</cp:revision>
  <cp:lastPrinted>2023-08-02T18:13:00Z</cp:lastPrinted>
  <dcterms:created xsi:type="dcterms:W3CDTF">2024-01-02T22:36:00Z</dcterms:created>
  <dcterms:modified xsi:type="dcterms:W3CDTF">2024-01-05T20:07:00Z</dcterms:modified>
</cp:coreProperties>
</file>